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36" w:name="bijlage-7-begrippenlijst-ce-markering"/>
    <w:p>
      <w:pPr>
        <w:pStyle w:val="Heading1"/>
      </w:pPr>
      <w:r>
        <w:t xml:space="preserve">Bijlage 7 – Begrippenlijst CE-markering</w:t>
      </w:r>
    </w:p>
    <w:p>
      <w:pPr>
        <w:pStyle w:val="FirstParagraph"/>
      </w:pPr>
      <w:r>
        <w:rPr>
          <w:i/>
          <w:iCs/>
        </w:rPr>
        <w:t xml:space="preserve">Deze begrippenlijst bevat de belangrijkste termen en afkortingen die worden gebruikt in het kader van CE-markering voor houten ramen, deuren en kozijnen volgens NEN-EN 14351-1:2006+A2:2016 en de Europese Bouwproductenverordening (CPR). Gebruik deze lijst als naslagwerk voor medewerkers, auditors en kwaliteitscoördinatoren.</w:t>
      </w:r>
    </w:p>
    <w:p>
      <w:r>
        <w:pict>
          <v:rect style="width:0;height:1.5pt" o:hralign="center" o:hrstd="t" o:hr="t"/>
        </w:pict>
      </w:r>
    </w:p>
    <w:bookmarkStart w:id="34" w:name="begrippen-en-afkortingen"/>
    <w:p>
      <w:pPr>
        <w:pStyle w:val="Heading2"/>
      </w:pPr>
      <w:r>
        <w:t xml:space="preserve">📚 Begrippen en afkortingen</w:t>
      </w:r>
    </w:p>
    <w:bookmarkStart w:id="20" w:name="ce-markering"/>
    <w:p>
      <w:pPr>
        <w:pStyle w:val="Heading3"/>
      </w:pPr>
      <w:r>
        <w:t xml:space="preserve">CE-markering</w:t>
      </w:r>
    </w:p>
    <w:p>
      <w:pPr>
        <w:pStyle w:val="FirstParagraph"/>
      </w:pPr>
      <w:r>
        <w:rPr>
          <w:b/>
          <w:bCs/>
        </w:rPr>
        <w:t xml:space="preserve">CE</w:t>
      </w:r>
      <w:r>
        <w:t xml:space="preserve">: Conformité Européenne – keurmerk dat aangeeft dat een product voldoet aan EU-wetgeving als bedoeld in de CPR. Verplicht voor bouwproducten die onder geharmoniseerde Europese normen vallen.</w:t>
      </w:r>
    </w:p>
    <w:bookmarkEnd w:id="20"/>
    <w:bookmarkStart w:id="21" w:name="dop"/>
    <w:p>
      <w:pPr>
        <w:pStyle w:val="Heading3"/>
      </w:pPr>
      <w:r>
        <w:t xml:space="preserve">DoP</w:t>
      </w:r>
    </w:p>
    <w:p>
      <w:pPr>
        <w:pStyle w:val="FirstParagraph"/>
      </w:pPr>
      <w:r>
        <w:rPr>
          <w:b/>
          <w:bCs/>
        </w:rPr>
        <w:t xml:space="preserve">DoP</w:t>
      </w:r>
      <w:r>
        <w:t xml:space="preserve">: Declaration of Performance – Prestatieverklaring waarin de fabrikant de essentiële prestaties van het product verklaart (bijv. Uw, Rw, waterdichtheid). Verplicht onderdeel van de CE-markering.</w:t>
      </w:r>
    </w:p>
    <w:bookmarkEnd w:id="21"/>
    <w:bookmarkStart w:id="22" w:name="itt"/>
    <w:p>
      <w:pPr>
        <w:pStyle w:val="Heading3"/>
      </w:pPr>
      <w:r>
        <w:t xml:space="preserve">ITT</w:t>
      </w:r>
    </w:p>
    <w:p>
      <w:pPr>
        <w:pStyle w:val="FirstParagraph"/>
      </w:pPr>
      <w:r>
        <w:rPr>
          <w:b/>
          <w:bCs/>
        </w:rPr>
        <w:t xml:space="preserve">ITT</w:t>
      </w:r>
      <w:r>
        <w:t xml:space="preserve">: Initial Type Testing – Initiële beproeving van een product door een Notified Body in het kader van CE-markering. Gebruikt als basis voor prestatieverklaring bij systeem 3.</w:t>
      </w:r>
    </w:p>
    <w:bookmarkEnd w:id="22"/>
    <w:bookmarkStart w:id="23" w:name="nobo"/>
    <w:p>
      <w:pPr>
        <w:pStyle w:val="Heading3"/>
      </w:pPr>
      <w:r>
        <w:t xml:space="preserve">NoBo</w:t>
      </w:r>
    </w:p>
    <w:p>
      <w:pPr>
        <w:pStyle w:val="FirstParagraph"/>
      </w:pPr>
      <w:r>
        <w:rPr>
          <w:b/>
          <w:bCs/>
        </w:rPr>
        <w:t xml:space="preserve">NoBo</w:t>
      </w:r>
      <w:r>
        <w:t xml:space="preserve">: Notified Body – Aangewezen laboratorium of instituut (bijv. SHR, nr. 2590) dat de ITT uitvoert onder accreditatie. Het NoBo-nummer staat verplicht op het CE-label.</w:t>
      </w:r>
    </w:p>
    <w:bookmarkEnd w:id="23"/>
    <w:bookmarkStart w:id="24" w:name="npd"/>
    <w:p>
      <w:pPr>
        <w:pStyle w:val="Heading3"/>
      </w:pPr>
      <w:r>
        <w:t xml:space="preserve">NPD</w:t>
      </w:r>
    </w:p>
    <w:p>
      <w:pPr>
        <w:pStyle w:val="FirstParagraph"/>
      </w:pPr>
      <w:r>
        <w:rPr>
          <w:b/>
          <w:bCs/>
        </w:rPr>
        <w:t xml:space="preserve">NPD</w:t>
      </w:r>
      <w:r>
        <w:t xml:space="preserve">: No Performance Determined – Term die mag worden gebruikt wanneer voor een niet-verplicht prestatiekenmerk geen waarde wordt opgegeven. NPD mag niet gebruikt worden waar de prestatie verplicht is.</w:t>
      </w:r>
    </w:p>
    <w:bookmarkEnd w:id="24"/>
    <w:bookmarkStart w:id="25" w:name="cpr"/>
    <w:p>
      <w:pPr>
        <w:pStyle w:val="Heading3"/>
      </w:pPr>
      <w:r>
        <w:t xml:space="preserve">CPR</w:t>
      </w:r>
    </w:p>
    <w:p>
      <w:pPr>
        <w:pStyle w:val="FirstParagraph"/>
      </w:pPr>
      <w:r>
        <w:rPr>
          <w:b/>
          <w:bCs/>
        </w:rPr>
        <w:t xml:space="preserve">CPR</w:t>
      </w:r>
      <w:r>
        <w:t xml:space="preserve">: Construction Products Regulation (EU nr. 305/2011) – Europese verordening inzake bouwproducten. Vervangt de vroegere CPD (Construction Products Directive). Bepaalt verplichtingen rondom CE, DoP, prestatiebeoordeling, en bewaarplicht.</w:t>
      </w:r>
    </w:p>
    <w:bookmarkEnd w:id="25"/>
    <w:bookmarkStart w:id="26" w:name="fpc"/>
    <w:p>
      <w:pPr>
        <w:pStyle w:val="Heading3"/>
      </w:pPr>
      <w:r>
        <w:t xml:space="preserve">FPC</w:t>
      </w:r>
    </w:p>
    <w:p>
      <w:pPr>
        <w:pStyle w:val="FirstParagraph"/>
      </w:pPr>
      <w:r>
        <w:rPr>
          <w:b/>
          <w:bCs/>
        </w:rPr>
        <w:t xml:space="preserve">FPC</w:t>
      </w:r>
      <w:r>
        <w:t xml:space="preserve">: Factory Production Control – Systeem voor interne controles in de fabriek ter waarborging van constante productkwaliteit. Vereist onderdeel bij CE-markering.</w:t>
      </w:r>
    </w:p>
    <w:bookmarkEnd w:id="26"/>
    <w:bookmarkStart w:id="27" w:name="ikb"/>
    <w:p>
      <w:pPr>
        <w:pStyle w:val="Heading3"/>
      </w:pPr>
      <w:r>
        <w:t xml:space="preserve">IKB</w:t>
      </w:r>
    </w:p>
    <w:p>
      <w:pPr>
        <w:pStyle w:val="FirstParagraph"/>
      </w:pPr>
      <w:r>
        <w:rPr>
          <w:b/>
          <w:bCs/>
        </w:rPr>
        <w:t xml:space="preserve">IKB</w:t>
      </w:r>
      <w:r>
        <w:t xml:space="preserve">: Interne Kwaliteitsborging – Onderdeel van FPC. Beslaat onder meer testrapporten, kalibratie, materiaalkeuring, medewerkersinstructie, en interne audits.</w:t>
      </w:r>
    </w:p>
    <w:bookmarkEnd w:id="27"/>
    <w:bookmarkStart w:id="28" w:name="uw"/>
    <w:p>
      <w:pPr>
        <w:pStyle w:val="Heading3"/>
      </w:pPr>
      <w:r>
        <w:t xml:space="preserve">Uw</w:t>
      </w:r>
    </w:p>
    <w:p>
      <w:pPr>
        <w:pStyle w:val="FirstParagraph"/>
      </w:pPr>
      <w:r>
        <w:rPr>
          <w:b/>
          <w:bCs/>
        </w:rPr>
        <w:t xml:space="preserve">Uw</w:t>
      </w:r>
      <w:r>
        <w:t xml:space="preserve">: Warmtedoorgangscoëfficiënt van een kozijn inclusief beglazing, volgens EN ISO 10077-1/-2. Wordt uitgedrukt in W/m²K.</w:t>
      </w:r>
    </w:p>
    <w:bookmarkEnd w:id="28"/>
    <w:bookmarkStart w:id="29" w:name="rw-rw-ctr"/>
    <w:p>
      <w:pPr>
        <w:pStyle w:val="Heading3"/>
      </w:pPr>
      <w:r>
        <w:t xml:space="preserve">Rw / Rw + Ctr</w:t>
      </w:r>
    </w:p>
    <w:p>
      <w:pPr>
        <w:pStyle w:val="FirstParagraph"/>
      </w:pPr>
      <w:r>
        <w:rPr>
          <w:b/>
          <w:bCs/>
        </w:rPr>
        <w:t xml:space="preserve">Rw</w:t>
      </w:r>
      <w:r>
        <w:t xml:space="preserve">: Geluidsisolatiewaarde volgens EN ISO 717-1.</w:t>
      </w:r>
      <w:r>
        <w:br/>
      </w:r>
      <w:r>
        <w:rPr>
          <w:b/>
          <w:bCs/>
        </w:rPr>
        <w:t xml:space="preserve">Ctr</w:t>
      </w:r>
      <w:r>
        <w:t xml:space="preserve">: Correctiefactor voor verkeerslawaai. Wordt samen gerapporteerd als Rw(C;Ctr).</w:t>
      </w:r>
    </w:p>
    <w:bookmarkEnd w:id="29"/>
    <w:bookmarkStart w:id="30" w:name="g-factor-tv"/>
    <w:p>
      <w:pPr>
        <w:pStyle w:val="Heading3"/>
      </w:pPr>
      <w:r>
        <w:t xml:space="preserve">g-factor / Tv</w:t>
      </w:r>
    </w:p>
    <w:p>
      <w:pPr>
        <w:pStyle w:val="FirstParagraph"/>
      </w:pPr>
      <w:r>
        <w:rPr>
          <w:b/>
          <w:bCs/>
        </w:rPr>
        <w:t xml:space="preserve">g</w:t>
      </w:r>
      <w:r>
        <w:t xml:space="preserve">: Totale zonne-energietransmissie (zontoetreding), tussen 0 en 1.</w:t>
      </w:r>
      <w:r>
        <w:br/>
      </w:r>
      <w:r>
        <w:rPr>
          <w:b/>
          <w:bCs/>
        </w:rPr>
        <w:t xml:space="preserve">Tv</w:t>
      </w:r>
      <w:r>
        <w:t xml:space="preserve">: Lichttoetredingsfactor (daglichttoetreding), tussen 0 en 1.</w:t>
      </w:r>
    </w:p>
    <w:bookmarkEnd w:id="30"/>
    <w:bookmarkStart w:id="31" w:name="X73b1988ba49b72fe64e4eea88aedee6ecf9026d"/>
    <w:p>
      <w:pPr>
        <w:pStyle w:val="Heading3"/>
      </w:pPr>
      <w:r>
        <w:t xml:space="preserve">Waterdichtheid / Luchtdichtheid / Windbelasting</w:t>
      </w:r>
    </w:p>
    <w:p>
      <w:pPr>
        <w:pStyle w:val="FirstParagraph"/>
      </w:pPr>
      <w:r>
        <w:t xml:space="preserve">Prestatie-eisen volgens EN 14351-1, o.a.</w:t>
      </w:r>
      <w:r>
        <w:t xml:space="preserve"> </w:t>
      </w:r>
      <w:r>
        <w:rPr>
          <w:b/>
          <w:bCs/>
        </w:rPr>
        <w:t xml:space="preserve">klasse A(klimatisch)</w:t>
      </w:r>
      <w:r>
        <w:t xml:space="preserve"> </w:t>
      </w:r>
      <w:r>
        <w:t xml:space="preserve">of</w:t>
      </w:r>
      <w:r>
        <w:t xml:space="preserve"> </w:t>
      </w:r>
      <w:r>
        <w:rPr>
          <w:b/>
          <w:bCs/>
        </w:rPr>
        <w:t xml:space="preserve">klasse 1 t/m 4</w:t>
      </w:r>
      <w:r>
        <w:t xml:space="preserve">. Worden gemeten volgens EN 1026 (lucht), EN 1027 (water), EN 12211/12210 (wind).</w:t>
      </w:r>
    </w:p>
    <w:bookmarkEnd w:id="31"/>
    <w:bookmarkStart w:id="32" w:name="shr"/>
    <w:p>
      <w:pPr>
        <w:pStyle w:val="Heading3"/>
      </w:pPr>
      <w:r>
        <w:t xml:space="preserve">SHR</w:t>
      </w:r>
    </w:p>
    <w:p>
      <w:pPr>
        <w:pStyle w:val="FirstParagraph"/>
      </w:pPr>
      <w:r>
        <w:rPr>
          <w:b/>
          <w:bCs/>
        </w:rPr>
        <w:t xml:space="preserve">SHR</w:t>
      </w:r>
      <w:r>
        <w:t xml:space="preserve">: Stichting Hout Research – Nederlands testinstituut én NoBo (nr. 2590) voor ITT-onderzoek.</w:t>
      </w:r>
    </w:p>
    <w:bookmarkEnd w:id="32"/>
    <w:bookmarkStart w:id="33" w:name="komo-certificaat"/>
    <w:p>
      <w:pPr>
        <w:pStyle w:val="Heading3"/>
      </w:pPr>
      <w:r>
        <w:t xml:space="preserve">Komo-certificaat</w:t>
      </w:r>
    </w:p>
    <w:p>
      <w:pPr>
        <w:pStyle w:val="FirstParagraph"/>
      </w:pPr>
      <w:r>
        <w:t xml:space="preserve">Vrijwillig Nederlands kwaliteitslabel voor houten gevelelementen. Niet verplicht voor CE, maar kan naast CE worden gebruikt als extra teken van kwaliteit.</w:t>
      </w:r>
    </w:p>
    <w:p>
      <w:r>
        <w:pict>
          <v:rect style="width:0;height:1.5pt" o:hralign="center" o:hrstd="t" o:hr="t"/>
        </w:pict>
      </w:r>
    </w:p>
    <w:bookmarkEnd w:id="33"/>
    <w:bookmarkEnd w:id="34"/>
    <w:bookmarkStart w:id="35" w:name="ℹ-toepassing"/>
    <w:p>
      <w:pPr>
        <w:pStyle w:val="Heading2"/>
      </w:pPr>
      <w:r>
        <w:t xml:space="preserve">ℹ️ Toepassing</w:t>
      </w:r>
    </w:p>
    <w:p>
      <w:pPr>
        <w:pStyle w:val="FirstParagraph"/>
      </w:pPr>
      <w:r>
        <w:t xml:space="preserve">Deze begrippenlijst vormt de afsluiting van de CE-handleiding en wordt aanbevolen om op te nemen als interne referentietool of als onderdeel van opleidingsmateriaal voor (nieuwe) medewerkers.</w:t>
      </w:r>
    </w:p>
    <w:p>
      <w:pPr>
        <w:pStyle w:val="BodyText"/>
      </w:pPr>
      <w:r>
        <w:rPr>
          <w:b/>
          <w:bCs/>
        </w:rPr>
        <w:t xml:space="preserve">Gerelateerde bijlagen:</w:t>
      </w:r>
      <w:r>
        <w:t xml:space="preserve"> </w:t>
      </w:r>
      <w:r>
        <w:t xml:space="preserve">- Bijlage 1: NPD-matrix</w:t>
      </w:r>
      <w:r>
        <w:t xml:space="preserve"> </w:t>
      </w:r>
      <w:r>
        <w:t xml:space="preserve">- Bijlage 3: CE-label</w:t>
      </w:r>
      <w:r>
        <w:t xml:space="preserve"> </w:t>
      </w:r>
      <w:r>
        <w:t xml:space="preserve">- Bijlage 4: DoP-sjablonen</w:t>
      </w:r>
      <w:r>
        <w:t xml:space="preserve"> </w:t>
      </w:r>
      <w:r>
        <w:t xml:space="preserve">- Bijlage 6: ILT-inspectiechecklist</w:t>
      </w:r>
    </w:p>
    <w:bookmarkEnd w:id="35"/>
    <w:bookmarkEnd w:id="36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2025-11-06T12:51:47Z</dcterms:created>
  <dcterms:modified xsi:type="dcterms:W3CDTF">2025-11-06T12:51:47Z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