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7" w:name="Xbcfb1e4faa6098c0f3a6b188b6dbc13ba0e98d4"/>
    <w:p>
      <w:pPr>
        <w:pStyle w:val="Heading1"/>
      </w:pPr>
      <w:r>
        <w:t xml:space="preserve">Bijlage 2 – Rekenmethoden en formules (akoestiek, Uw, zontoetreding)</w:t>
      </w:r>
    </w:p>
    <w:p>
      <w:pPr>
        <w:pStyle w:val="FirstParagraph"/>
      </w:pPr>
      <w:r>
        <w:rPr>
          <w:i/>
          <w:iCs/>
        </w:rPr>
        <w:t xml:space="preserve">Deze bijlage bevat zorgvuldige, stap-voor-stap methodes met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volledig uitgewerkte voorbeelden</w:t>
      </w:r>
      <w:r>
        <w:rPr>
          <w:i/>
          <w:iCs/>
        </w:rPr>
        <w:t xml:space="preserve">. Gebruik dit document om waarden te onderbouwen voor CE-label en DoP. Noteer altijd bron, versie en datum van gebruikte data (glas-DoP, profieldata, softwareversie).</w:t>
      </w:r>
    </w:p>
    <w:p>
      <w:r>
        <w:pict>
          <v:rect style="width:0;height:1.5pt" o:hralign="center" o:hrstd="t" o:hr="t"/>
        </w:pict>
      </w:r>
    </w:p>
    <w:bookmarkStart w:id="20" w:name="inhoud"/>
    <w:p>
      <w:pPr>
        <w:pStyle w:val="Heading2"/>
      </w:pPr>
      <w:r>
        <w:t xml:space="preserve">Inhoud</w:t>
      </w:r>
    </w:p>
    <w:p>
      <w:pPr>
        <w:pStyle w:val="Compact"/>
        <w:numPr>
          <w:ilvl w:val="0"/>
          <w:numId w:val="1001"/>
        </w:numPr>
      </w:pPr>
      <w:r>
        <w:t xml:space="preserve">Thermische isolatie (Uw)</w:t>
      </w:r>
    </w:p>
    <w:p>
      <w:pPr>
        <w:pStyle w:val="Compact"/>
        <w:numPr>
          <w:ilvl w:val="0"/>
          <w:numId w:val="1001"/>
        </w:numPr>
      </w:pPr>
      <w:r>
        <w:t xml:space="preserve">Akoestiek (Rw en Rw + Ctr)</w:t>
      </w:r>
    </w:p>
    <w:p>
      <w:pPr>
        <w:pStyle w:val="Compact"/>
        <w:numPr>
          <w:ilvl w:val="0"/>
          <w:numId w:val="1001"/>
        </w:numPr>
      </w:pPr>
      <w:r>
        <w:t xml:space="preserve">Zontoetreding (g) en Lichtdoorlatendheid (Tv)</w:t>
      </w:r>
    </w:p>
    <w:p>
      <w:pPr>
        <w:pStyle w:val="Compact"/>
        <w:numPr>
          <w:ilvl w:val="0"/>
          <w:numId w:val="1001"/>
        </w:numPr>
      </w:pPr>
      <w:r>
        <w:t xml:space="preserve">Toepassing, software, herberekening &amp; kwaliteitsborging</w:t>
      </w:r>
    </w:p>
    <w:p>
      <w:pPr>
        <w:pStyle w:val="Compact"/>
        <w:numPr>
          <w:ilvl w:val="0"/>
          <w:numId w:val="1001"/>
        </w:numPr>
      </w:pPr>
      <w:r>
        <w:t xml:space="preserve">Notatie, afronding, eenheden en documentatie</w:t>
      </w:r>
    </w:p>
    <w:p>
      <w:pPr>
        <w:pStyle w:val="Compact"/>
        <w:numPr>
          <w:ilvl w:val="0"/>
          <w:numId w:val="1001"/>
        </w:numPr>
      </w:pPr>
      <w:r>
        <w:t xml:space="preserve">Foutenpreventie (checklist)</w:t>
      </w:r>
    </w:p>
    <w:p>
      <w:r>
        <w:pict>
          <v:rect style="width:0;height:1.5pt" o:hralign="center" o:hrstd="t" o:hr="t"/>
        </w:pict>
      </w:r>
    </w:p>
    <w:bookmarkEnd w:id="20"/>
    <w:bookmarkStart w:id="24" w:name="thermische-isolatie-uw"/>
    <w:p>
      <w:pPr>
        <w:pStyle w:val="Heading2"/>
      </w:pPr>
      <w:r>
        <w:t xml:space="preserve">1. Thermische isolatie (Uw)</w:t>
      </w:r>
    </w:p>
    <w:p>
      <w:pPr>
        <w:pStyle w:val="FirstParagraph"/>
      </w:pPr>
      <w:r>
        <w:rPr>
          <w:b/>
          <w:bCs/>
        </w:rPr>
        <w:t xml:space="preserve">Normen:</w:t>
      </w:r>
      <w:r>
        <w:t xml:space="preserve"> </w:t>
      </w:r>
      <w:r>
        <w:t xml:space="preserve">EN ISO 10077-1 / -2, EN 14351-1:2006+A2:2016</w:t>
      </w:r>
      <w:r>
        <w:br/>
      </w:r>
      <w:r>
        <w:rPr>
          <w:b/>
          <w:bCs/>
        </w:rPr>
        <w:t xml:space="preserve">Twee routes: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Forfaitair</w:t>
      </w:r>
      <w:r>
        <w:t xml:space="preserve"> </w:t>
      </w:r>
      <w:r>
        <w:t xml:space="preserve">(tabelwaarden/profiel- en glas-standaarden) –</w:t>
      </w:r>
      <w:r>
        <w:t xml:space="preserve"> </w:t>
      </w:r>
      <w:r>
        <w:rPr>
          <w:i/>
          <w:iCs/>
        </w:rPr>
        <w:t xml:space="preserve">mogen</w:t>
      </w:r>
      <w:r>
        <w:t xml:space="preserve"> </w:t>
      </w:r>
      <w:r>
        <w:t xml:space="preserve">worden gebruikt bij standaard houten kozijnen binnen de toepassingsgrenzen (o.a. maximaal ~30% frame-aandeel bij de tabelmethode uit ISO 10077-1).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Berekend</w:t>
      </w:r>
      <w:r>
        <w:t xml:space="preserve"> </w:t>
      </w:r>
      <w:r>
        <w:t xml:space="preserve">(volledige warmtestroomberekening) – verplicht bij afwijkende profielen, samengestelde constructies, bijzondere spacers/afstandhouders of buiten de toepassingsgrenzen van forfaitaire tabellen.</w:t>
      </w:r>
    </w:p>
    <w:bookmarkStart w:id="21" w:name="algemene-formule-berekend"/>
    <w:p>
      <w:pPr>
        <w:pStyle w:val="Heading3"/>
      </w:pPr>
      <w:r>
        <w:t xml:space="preserve">1.1 Algemene formule (berekend)</w:t>
      </w:r>
    </w:p>
    <w:p>
      <w:pPr>
        <w:pStyle w:val="FirstParagraph"/>
      </w:pPr>
      <w:r>
        <w:t xml:space="preserve">[ Uw =</w:t>
      </w:r>
      <w:r>
        <w:t xml:space="preserve"> </w:t>
      </w:r>
      <w:r>
        <w:t xml:space="preserve"> </w:t>
      </w:r>
      <w:r>
        <w:t xml:space="preserve">]</w:t>
      </w:r>
      <w:r>
        <w:t xml:space="preserve"> </w:t>
      </w:r>
      <w:r>
        <w:rPr>
          <w:b/>
          <w:bCs/>
        </w:rPr>
        <w:t xml:space="preserve">Symboollijst: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Uw</w:t>
      </w:r>
      <w:r>
        <w:t xml:space="preserve">: U-waarde van het complete kozijn [W/m²K]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Ag</w:t>
      </w:r>
      <w:r>
        <w:t xml:space="preserve">: glasoppervlak [m²]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Ug</w:t>
      </w:r>
      <w:r>
        <w:t xml:space="preserve">: U-waarde glas (uit glas-DoP) [W/m²K]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Af</w:t>
      </w:r>
      <w:r>
        <w:t xml:space="preserve">: zichtbaar frame-oppervlak (kozijn+raam/deur) [m²]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Uf</w:t>
      </w:r>
      <w:r>
        <w:t xml:space="preserve">: U-waarde profiel (berekend of tabel) [W/m²K]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lg</w:t>
      </w:r>
      <w:r>
        <w:t xml:space="preserve">: totale lengte glasrand (perimeter van beglaasde delen) [m]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ψg</w:t>
      </w:r>
      <w:r>
        <w:t xml:space="preserve">: lineaire warmtedoorgangscoëfficiënt van de glasrand/spacer [W/mK]</w:t>
      </w:r>
    </w:p>
    <w:p>
      <w:pPr>
        <w:pStyle w:val="BlockText"/>
      </w:pPr>
      <w:r>
        <w:rPr>
          <w:b/>
          <w:bCs/>
        </w:rPr>
        <w:t xml:space="preserve">Let op</w:t>
      </w:r>
      <w:r>
        <w:t xml:space="preserve">: Gebruik profielspecificaties die overeenkomen met het daadwerkelijk geleverde product (houtsoort, profilering, eventuele aluminium deklijsten, thermische onderbrekingen). Documenteer aannames.</w:t>
      </w:r>
    </w:p>
    <w:bookmarkEnd w:id="21"/>
    <w:bookmarkStart w:id="22" w:name="Xf36f05a72834fbb64a4918115a617bea385377d"/>
    <w:p>
      <w:pPr>
        <w:pStyle w:val="Heading3"/>
      </w:pPr>
      <w:r>
        <w:t xml:space="preserve">1.2 Volledig uitgewerkt voorbeeld –</w:t>
      </w:r>
      <w:r>
        <w:t xml:space="preserve"> </w:t>
      </w:r>
      <w:r>
        <w:rPr>
          <w:b/>
          <w:bCs/>
        </w:rPr>
        <w:t xml:space="preserve">raamkozijn met HR++</w:t>
      </w:r>
    </w:p>
    <w:p>
      <w:pPr>
        <w:pStyle w:val="FirstParagraph"/>
      </w:pPr>
      <w:r>
        <w:rPr>
          <w:b/>
          <w:bCs/>
        </w:rPr>
        <w:t xml:space="preserve">Gegeven (project X):</w:t>
      </w:r>
      <w:r>
        <w:t xml:space="preserve"> </w:t>
      </w:r>
      <w:r>
        <w:t xml:space="preserve">- Afmeting buitenwerks: 1.23 m × 1.48 m</w:t>
      </w:r>
      <w:r>
        <w:br/>
      </w:r>
      <w:r>
        <w:t xml:space="preserve">- Vlakverdeling: 1 vast raam</w:t>
      </w:r>
      <w:r>
        <w:br/>
      </w:r>
      <w:r>
        <w:t xml:space="preserve">- Glas: HR++ (Ug = 1.1 W/m²K, spacer aluminium: ψg = 0.060 W/mK)</w:t>
      </w:r>
      <w:r>
        <w:br/>
      </w:r>
      <w:r>
        <w:t xml:space="preserve">- Profiel: standaard houten profiel,</w:t>
      </w:r>
      <w:r>
        <w:t xml:space="preserve"> </w:t>
      </w:r>
      <w:r>
        <w:rPr>
          <w:b/>
          <w:bCs/>
        </w:rPr>
        <w:t xml:space="preserve">Uf = 2.0 W/m²K</w:t>
      </w:r>
      <w:r>
        <w:t xml:space="preserve"> </w:t>
      </w:r>
      <w:r>
        <w:t xml:space="preserve">(conform ISO 10077-1 forfaitair)</w:t>
      </w:r>
      <w:r>
        <w:br/>
      </w:r>
      <w:r>
        <w:t xml:space="preserve">- Zichtbaar framebreedte (gemiddeld): 0.09 m</w:t>
      </w:r>
    </w:p>
    <w:p>
      <w:pPr>
        <w:pStyle w:val="BodyText"/>
      </w:pPr>
      <w:r>
        <w:rPr>
          <w:b/>
          <w:bCs/>
        </w:rPr>
        <w:t xml:space="preserve">Stap 1 – Oppervlakken</w:t>
      </w:r>
      <w:r>
        <w:br/>
      </w:r>
      <w:r>
        <w:t xml:space="preserve">- Totale buitenwerks oppervlak: 1.23 × 1.48 =</w:t>
      </w:r>
      <w:r>
        <w:t xml:space="preserve"> </w:t>
      </w:r>
      <w:r>
        <w:rPr>
          <w:b/>
          <w:bCs/>
        </w:rPr>
        <w:t xml:space="preserve">1.8204 m²</w:t>
      </w:r>
      <w:r>
        <w:br/>
      </w:r>
      <w:r>
        <w:t xml:space="preserve">- Beglaasd zichtvlak (Ag): (1.23 − 2×0.09) × (1.48 − 2×0.09) = 1.05 × 1.30 =</w:t>
      </w:r>
      <w:r>
        <w:t xml:space="preserve"> </w:t>
      </w:r>
      <w:r>
        <w:rPr>
          <w:b/>
          <w:bCs/>
        </w:rPr>
        <w:t xml:space="preserve">1.365 m²</w:t>
      </w:r>
      <w:r>
        <w:br/>
      </w:r>
      <w:r>
        <w:t xml:space="preserve">- Frame-oppervlak (Af) = 1.8204 − 1.365 =</w:t>
      </w:r>
      <w:r>
        <w:t xml:space="preserve"> </w:t>
      </w:r>
      <w:r>
        <w:rPr>
          <w:b/>
          <w:bCs/>
        </w:rPr>
        <w:t xml:space="preserve">0.4554 m²</w:t>
      </w:r>
    </w:p>
    <w:p>
      <w:pPr>
        <w:pStyle w:val="BodyText"/>
      </w:pPr>
      <w:r>
        <w:rPr>
          <w:b/>
          <w:bCs/>
        </w:rPr>
        <w:t xml:space="preserve">Stap 2 – Glasrandlengte</w:t>
      </w:r>
      <w:r>
        <w:br/>
      </w:r>
      <w:r>
        <w:t xml:space="preserve">- l_g = omtrek glas = 2 × (1.05 + 1.30) =</w:t>
      </w:r>
      <w:r>
        <w:t xml:space="preserve"> </w:t>
      </w:r>
      <w:r>
        <w:rPr>
          <w:b/>
          <w:bCs/>
        </w:rPr>
        <w:t xml:space="preserve">4.70 m</w:t>
      </w:r>
    </w:p>
    <w:p>
      <w:pPr>
        <w:pStyle w:val="BodyText"/>
      </w:pPr>
      <w:r>
        <w:rPr>
          <w:b/>
          <w:bCs/>
        </w:rPr>
        <w:t xml:space="preserve">Stap 3 – Invullen formule</w:t>
      </w:r>
      <w:r>
        <w:br/>
      </w:r>
      <w:r>
        <w:t xml:space="preserve">Uw = (Ag·Ug + Af·Uf + lg·ψg) / (Ag + Af)</w:t>
      </w:r>
      <w:r>
        <w:br/>
      </w:r>
      <w:r>
        <w:t xml:space="preserve">= (1.365×1.1 + 0.4554×2.0 + 4.70×0.060) / 1.8204</w:t>
      </w:r>
      <w:r>
        <w:br/>
      </w:r>
      <w:r>
        <w:t xml:space="preserve">= (1.5015 + 0.9108 + 0.2820) / 1.8204</w:t>
      </w:r>
      <w:r>
        <w:br/>
      </w:r>
      <w:r>
        <w:t xml:space="preserve">= 2.6943 / 1.8204 =</w:t>
      </w:r>
      <w:r>
        <w:t xml:space="preserve"> </w:t>
      </w:r>
      <w:r>
        <w:rPr>
          <w:b/>
          <w:bCs/>
        </w:rPr>
        <w:t xml:space="preserve">1.48 W/m²K</w:t>
      </w:r>
    </w:p>
    <w:p>
      <w:pPr>
        <w:pStyle w:val="BodyText"/>
      </w:pPr>
      <w:r>
        <w:rPr>
          <w:b/>
          <w:bCs/>
        </w:rPr>
        <w:t xml:space="preserve">Stap 4 – Notatie op DoP/label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Uw = 1.5 W/m²K</w:t>
      </w:r>
      <w:r>
        <w:t xml:space="preserve"> </w:t>
      </w:r>
      <w:r>
        <w:t xml:space="preserve">(afronden op één decimaal ≥ 1.0)</w:t>
      </w:r>
      <w:r>
        <w:br/>
      </w:r>
      <w:r>
        <w:t xml:space="preserve">- Bron: glas-DoP UG=1.1, projectberekening, datum, software/bronvermelding.</w:t>
      </w:r>
    </w:p>
    <w:bookmarkEnd w:id="22"/>
    <w:bookmarkStart w:id="23" w:name="wanneer-forfaitair-wanneer-berekenen"/>
    <w:p>
      <w:pPr>
        <w:pStyle w:val="Heading3"/>
      </w:pPr>
      <w:r>
        <w:t xml:space="preserve">1.3 Wanneer forfaitair, wanneer berekenen?</w:t>
      </w:r>
    </w:p>
    <w:p>
      <w:pPr>
        <w:pStyle w:val="FirstParagraph"/>
      </w:pPr>
      <w:r>
        <w:rPr>
          <w:b/>
          <w:bCs/>
        </w:rPr>
        <w:t xml:space="preserve">Forfaitair toestaan als:</w:t>
      </w:r>
      <w:r>
        <w:t xml:space="preserve"> </w:t>
      </w:r>
      <w:r>
        <w:t xml:space="preserve">- Standaard houten profielwaarden (Uf ≈ 2.0 W/m²K) worden gebruikt;</w:t>
      </w:r>
      <w:r>
        <w:br/>
      </w:r>
      <w:r>
        <w:t xml:space="preserve">- Standaard spacer (ψg) en frame-aandeel binnen tabellimieten;</w:t>
      </w:r>
      <w:r>
        <w:br/>
      </w:r>
      <w:r>
        <w:t xml:space="preserve">- Geen bijzondere elementen (panelen met andere λ, brede stijlen, extra ribben, glaslatten die thermisch afwijken, etc.).</w:t>
      </w:r>
    </w:p>
    <w:p>
      <w:pPr>
        <w:pStyle w:val="BodyText"/>
      </w:pPr>
      <w:r>
        <w:rPr>
          <w:b/>
          <w:bCs/>
        </w:rPr>
        <w:t xml:space="preserve">Berekend verplicht als:</w:t>
      </w:r>
      <w:r>
        <w:t xml:space="preserve"> </w:t>
      </w:r>
      <w:r>
        <w:t xml:space="preserve">- Afwijkende profielen, samengestelde elementen, andere spacers (warm-edge),</w:t>
      </w:r>
      <w:r>
        <w:br/>
      </w:r>
      <w:r>
        <w:t xml:space="preserve">- Groot frame-aandeel of bijzondere vorm/onderbrekingen,</w:t>
      </w:r>
      <w:r>
        <w:br/>
      </w:r>
      <w:r>
        <w:t xml:space="preserve">- Strengere eis of discussie met opdrachtgever/controleur over onderbouwing.</w:t>
      </w:r>
    </w:p>
    <w:p>
      <w:r>
        <w:pict>
          <v:rect style="width:0;height:1.5pt" o:hralign="center" o:hrstd="t" o:hr="t"/>
        </w:pict>
      </w:r>
    </w:p>
    <w:bookmarkEnd w:id="23"/>
    <w:bookmarkEnd w:id="24"/>
    <w:bookmarkStart w:id="28" w:name="akoestiek-rw-en-rw-ctr"/>
    <w:p>
      <w:pPr>
        <w:pStyle w:val="Heading2"/>
      </w:pPr>
      <w:r>
        <w:t xml:space="preserve">2. Akoestiek (Rw en Rw + Ctr)</w:t>
      </w:r>
    </w:p>
    <w:p>
      <w:pPr>
        <w:pStyle w:val="FirstParagraph"/>
      </w:pPr>
      <w:r>
        <w:rPr>
          <w:b/>
          <w:bCs/>
        </w:rPr>
        <w:t xml:space="preserve">Normen:</w:t>
      </w:r>
      <w:r>
        <w:t xml:space="preserve"> </w:t>
      </w:r>
      <w:r>
        <w:t xml:space="preserve">EN ISO 10140-2 (meting), EN ISO 717-1 (beoordeling), EN 14351-1</w:t>
      </w:r>
      <w:r>
        <w:br/>
      </w:r>
      <w:r>
        <w:rPr>
          <w:b/>
          <w:bCs/>
        </w:rPr>
        <w:t xml:space="preserve">Benadering:</w:t>
      </w:r>
      <w:r>
        <w:t xml:space="preserve"> </w:t>
      </w:r>
      <w:r>
        <w:t xml:space="preserve">kozijnprestatie is</w:t>
      </w:r>
      <w:r>
        <w:t xml:space="preserve"> </w:t>
      </w:r>
      <w:r>
        <w:rPr>
          <w:b/>
          <w:bCs/>
        </w:rPr>
        <w:t xml:space="preserve">niet</w:t>
      </w:r>
      <w:r>
        <w:t xml:space="preserve"> </w:t>
      </w:r>
      <w:r>
        <w:t xml:space="preserve">gelijk aan glasprestatie. Houd rekening met lekverliezen (luchtdichtheidsklasse), afmetingen en aandeel glas/frame.</w:t>
      </w:r>
    </w:p>
    <w:bookmarkStart w:id="25" w:name="samengestelde-transmissie-rekenprincipe"/>
    <w:p>
      <w:pPr>
        <w:pStyle w:val="Heading3"/>
      </w:pPr>
      <w:r>
        <w:t xml:space="preserve">2.1 Samengestelde transmissie – rekenprincipe</w:t>
      </w:r>
    </w:p>
    <w:p>
      <w:pPr>
        <w:pStyle w:val="FirstParagraph"/>
      </w:pPr>
      <w:r>
        <w:t xml:space="preserve">[ R_{w,,tot} = -10,</w:t>
      </w:r>
      <w:r>
        <w:t xml:space="preserve">(</w:t>
      </w:r>
      <w:r>
        <w:rPr>
          <w:i/>
          <w:iCs/>
        </w:rPr>
        <w:t xml:space="preserve">i</w:t>
      </w:r>
      <w:r>
        <w:rPr>
          <w:i/>
          <w:iCs/>
        </w:rPr>
        <w:t xml:space="preserve"> </w:t>
      </w:r>
      <w:r>
        <w:rPr>
          <w:i/>
          <w:iCs/>
        </w:rPr>
        <w:t xml:space="preserve">^{-R</w:t>
      </w:r>
      <w:r>
        <w:t xml:space="preserve">{w,i}/10}</w:t>
      </w:r>
      <w:r>
        <w:t xml:space="preserve">) ]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S_i</w:t>
      </w:r>
      <w:r>
        <w:t xml:space="preserve">: oppervlak component i (glas, kader, paneel)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R_{w,i}</w:t>
      </w:r>
      <w:r>
        <w:t xml:space="preserve">: geluidsisolatie van component i</w:t>
      </w:r>
      <w:r>
        <w:br/>
      </w:r>
      <w:r>
        <w:t xml:space="preserve">- Correcties</w:t>
      </w:r>
      <w:r>
        <w:t xml:space="preserve"> </w:t>
      </w:r>
      <w:r>
        <w:rPr>
          <w:b/>
          <w:bCs/>
        </w:rPr>
        <w:t xml:space="preserve">C</w:t>
      </w:r>
      <w:r>
        <w:t xml:space="preserve"> </w:t>
      </w:r>
      <w:r>
        <w:t xml:space="preserve">en</w:t>
      </w:r>
      <w:r>
        <w:t xml:space="preserve"> </w:t>
      </w:r>
      <w:r>
        <w:rPr>
          <w:b/>
          <w:bCs/>
        </w:rPr>
        <w:t xml:space="preserve">Ctr</w:t>
      </w:r>
      <w:r>
        <w:t xml:space="preserve"> </w:t>
      </w:r>
      <w:r>
        <w:t xml:space="preserve">toepassen volgens EN ISO 717-1 op de resulterende curve.</w:t>
      </w:r>
    </w:p>
    <w:p>
      <w:pPr>
        <w:pStyle w:val="BlockText"/>
      </w:pPr>
      <w:r>
        <w:t xml:space="preserve">In de praktijk gebruiken leden een</w:t>
      </w:r>
      <w:r>
        <w:t xml:space="preserve"> </w:t>
      </w:r>
      <w:r>
        <w:rPr>
          <w:b/>
          <w:bCs/>
        </w:rPr>
        <w:t xml:space="preserve">NBVT-Exceltool</w:t>
      </w:r>
      <w:r>
        <w:t xml:space="preserve">: invoer (glas Rw(C;Ctr), luchtdichtheidsklasse, afmeting) → output kozijn Rw(+C; Ctr). Documenteer versie van de tool en invoerdata.</w:t>
      </w:r>
    </w:p>
    <w:bookmarkEnd w:id="25"/>
    <w:bookmarkStart w:id="26" w:name="volledig-uitgewerkt-voorbeeld-vast-raam"/>
    <w:p>
      <w:pPr>
        <w:pStyle w:val="Heading3"/>
      </w:pPr>
      <w:r>
        <w:t xml:space="preserve">2.2 Volledig uitgewerkt voorbeeld –</w:t>
      </w:r>
      <w:r>
        <w:t xml:space="preserve"> </w:t>
      </w:r>
      <w:r>
        <w:rPr>
          <w:b/>
          <w:bCs/>
        </w:rPr>
        <w:t xml:space="preserve">vast raam</w:t>
      </w:r>
    </w:p>
    <w:p>
      <w:pPr>
        <w:pStyle w:val="FirstParagraph"/>
      </w:pPr>
      <w:r>
        <w:rPr>
          <w:b/>
          <w:bCs/>
        </w:rPr>
        <w:t xml:space="preserve">Gegeven:</w:t>
      </w:r>
      <w:r>
        <w:t xml:space="preserve"> </w:t>
      </w:r>
      <w:r>
        <w:t xml:space="preserve">- Afmeting glas: 1.05 × 1.30 m (oppervlak glas</w:t>
      </w:r>
      <w:r>
        <w:t xml:space="preserve"> </w:t>
      </w:r>
      <w:r>
        <w:rPr>
          <w:b/>
          <w:bCs/>
        </w:rPr>
        <w:t xml:space="preserve">1.365 m²</w:t>
      </w:r>
      <w:r>
        <w:t xml:space="preserve">)</w:t>
      </w:r>
      <w:r>
        <w:br/>
      </w:r>
      <w:r>
        <w:t xml:space="preserve">- Kaderoppervlak:</w:t>
      </w:r>
      <w:r>
        <w:t xml:space="preserve"> </w:t>
      </w:r>
      <w:r>
        <w:rPr>
          <w:b/>
          <w:bCs/>
        </w:rPr>
        <w:t xml:space="preserve">0.455 m²</w:t>
      </w:r>
      <w:r>
        <w:t xml:space="preserve"> </w:t>
      </w:r>
      <w:r>
        <w:t xml:space="preserve">(zoals bij Uw-voorbeeld)</w:t>
      </w:r>
      <w:r>
        <w:br/>
      </w:r>
      <w:r>
        <w:t xml:space="preserve">- Glas: 8-16-4 dubbelglas,</w:t>
      </w:r>
      <w:r>
        <w:t xml:space="preserve"> </w:t>
      </w:r>
      <w:r>
        <w:rPr>
          <w:b/>
          <w:bCs/>
        </w:rPr>
        <w:t xml:space="preserve">Rw_gl = 33 dB</w:t>
      </w:r>
      <w:r>
        <w:t xml:space="preserve">,</w:t>
      </w:r>
      <w:r>
        <w:t xml:space="preserve"> </w:t>
      </w:r>
      <w:r>
        <w:rPr>
          <w:b/>
          <w:bCs/>
        </w:rPr>
        <w:t xml:space="preserve">Ctr_gl = −1 dB</w:t>
      </w:r>
      <w:r>
        <w:t xml:space="preserve"> </w:t>
      </w:r>
      <w:r>
        <w:t xml:space="preserve">(indicatief)</w:t>
      </w:r>
      <w:r>
        <w:br/>
      </w:r>
      <w:r>
        <w:t xml:space="preserve">- Kader (hout, zwaar/compact): aannemen</w:t>
      </w:r>
      <w:r>
        <w:t xml:space="preserve"> </w:t>
      </w:r>
      <w:r>
        <w:rPr>
          <w:b/>
          <w:bCs/>
        </w:rPr>
        <w:t xml:space="preserve">Rw_kader = 28 dB</w:t>
      </w:r>
      <w:r>
        <w:t xml:space="preserve"> </w:t>
      </w:r>
      <w:r>
        <w:t xml:space="preserve">(typische orde van grootte)</w:t>
      </w:r>
      <w:r>
        <w:br/>
      </w:r>
      <w:r>
        <w:t xml:space="preserve">- Luchtdichtheidsklasse:</w:t>
      </w:r>
      <w:r>
        <w:t xml:space="preserve"> </w:t>
      </w:r>
      <w:r>
        <w:rPr>
          <w:b/>
          <w:bCs/>
        </w:rPr>
        <w:t xml:space="preserve">Klasse 4</w:t>
      </w:r>
      <w:r>
        <w:t xml:space="preserve"> </w:t>
      </w:r>
      <w:r>
        <w:t xml:space="preserve">(beste; gunstig voor akoestiek)</w:t>
      </w:r>
    </w:p>
    <w:p>
      <w:pPr>
        <w:pStyle w:val="BodyText"/>
      </w:pPr>
      <w:r>
        <w:rPr>
          <w:b/>
          <w:bCs/>
        </w:rPr>
        <w:t xml:space="preserve">Stap 1 – Gewogen transmissie</w:t>
      </w:r>
      <w:r>
        <w:br/>
      </w:r>
      <w:r>
        <w:t xml:space="preserve">S_totaal = 1.365 + 0.455 =</w:t>
      </w:r>
      <w:r>
        <w:t xml:space="preserve"> </w:t>
      </w:r>
      <w:r>
        <w:rPr>
          <w:b/>
          <w:bCs/>
        </w:rPr>
        <w:t xml:space="preserve">1.820 m²</w:t>
      </w:r>
      <w:r>
        <w:br/>
      </w:r>
      <w:r>
        <w:t xml:space="preserve">Term_gl = (1.365/1.820) × 10^(−33/10) = 0.75 × 10^(−3.3) ≈ 0.75 × 0.00050 =</w:t>
      </w:r>
      <w:r>
        <w:t xml:space="preserve"> </w:t>
      </w:r>
      <w:r>
        <w:rPr>
          <w:b/>
          <w:bCs/>
        </w:rPr>
        <w:t xml:space="preserve">0.00038</w:t>
      </w:r>
      <w:r>
        <w:br/>
      </w:r>
      <w:r>
        <w:t xml:space="preserve">Term_kader = (0.455/1.820) × 10^(−28/10) = 0.25 × 10^(−2.8) ≈ 0.25 × 0.00158 =</w:t>
      </w:r>
      <w:r>
        <w:t xml:space="preserve"> </w:t>
      </w:r>
      <w:r>
        <w:rPr>
          <w:b/>
          <w:bCs/>
        </w:rPr>
        <w:t xml:space="preserve">0.00040</w:t>
      </w:r>
      <w:r>
        <w:br/>
      </w:r>
      <w:r>
        <w:t xml:space="preserve">Som = 0.00038 + 0.00040 =</w:t>
      </w:r>
      <w:r>
        <w:t xml:space="preserve"> </w:t>
      </w:r>
      <w:r>
        <w:rPr>
          <w:b/>
          <w:bCs/>
        </w:rPr>
        <w:t xml:space="preserve">0.00078</w:t>
      </w:r>
      <w:r>
        <w:br/>
      </w:r>
      <w:r>
        <w:t xml:space="preserve">R_w,tot = −10·log(0.00078) ≈</w:t>
      </w:r>
      <w:r>
        <w:t xml:space="preserve"> </w:t>
      </w:r>
      <w:r>
        <w:rPr>
          <w:b/>
          <w:bCs/>
        </w:rPr>
        <w:t xml:space="preserve">31.1 dB</w:t>
      </w:r>
    </w:p>
    <w:p>
      <w:pPr>
        <w:pStyle w:val="BodyText"/>
      </w:pPr>
      <w:r>
        <w:rPr>
          <w:b/>
          <w:bCs/>
        </w:rPr>
        <w:t xml:space="preserve">Stap 2 – Correcties (indicatief)</w:t>
      </w:r>
      <w:r>
        <w:br/>
      </w:r>
      <w:r>
        <w:t xml:space="preserve">- Klasse 4 luchtdichtheid → beperkte lekbijdrage, aannemen</w:t>
      </w:r>
      <w:r>
        <w:t xml:space="preserve"> </w:t>
      </w:r>
      <w:r>
        <w:rPr>
          <w:b/>
          <w:bCs/>
        </w:rPr>
        <w:t xml:space="preserve">geen extra aftrek</w:t>
      </w:r>
      <w:r>
        <w:t xml:space="preserve">.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Ctr</w:t>
      </w:r>
      <w:r>
        <w:t xml:space="preserve">: −1 dB (van glas) is richting verkeerslawaai; totale</w:t>
      </w:r>
      <w:r>
        <w:t xml:space="preserve"> </w:t>
      </w:r>
      <w:r>
        <w:rPr>
          <w:b/>
          <w:bCs/>
        </w:rPr>
        <w:t xml:space="preserve">Rw + Ctr ≈ 30 dB</w:t>
      </w:r>
      <w:r>
        <w:t xml:space="preserve"> </w:t>
      </w:r>
      <w:r>
        <w:t xml:space="preserve">(afronden omlaag bij conservatisme).</w:t>
      </w:r>
    </w:p>
    <w:p>
      <w:pPr>
        <w:pStyle w:val="BodyText"/>
      </w:pPr>
      <w:r>
        <w:rPr>
          <w:b/>
          <w:bCs/>
        </w:rPr>
        <w:t xml:space="preserve">Te vermelden op DoP/label voor akoestiek (indien vereist):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Rw(C; Ctr) = 31 (−1; −1) dB</w:t>
      </w:r>
      <w:r>
        <w:br/>
      </w:r>
      <w:r>
        <w:t xml:space="preserve">&gt; Opmerking: hoge eisen (Rw ≥ 39 of Rw + Ctr ≥ 35 dB) vereisen</w:t>
      </w:r>
      <w:r>
        <w:t xml:space="preserve"> </w:t>
      </w:r>
      <w:r>
        <w:rPr>
          <w:b/>
          <w:bCs/>
        </w:rPr>
        <w:t xml:space="preserve">testen</w:t>
      </w:r>
      <w:r>
        <w:t xml:space="preserve"> </w:t>
      </w:r>
      <w:r>
        <w:t xml:space="preserve">(ITT) i.p.v. alleen berekenen.</w:t>
      </w:r>
    </w:p>
    <w:bookmarkEnd w:id="26"/>
    <w:bookmarkStart w:id="27" w:name="deurkozijnen-en-schuifdeuren"/>
    <w:p>
      <w:pPr>
        <w:pStyle w:val="Heading3"/>
      </w:pPr>
      <w:r>
        <w:t xml:space="preserve">2.3 Deurkozijnen en schuifdeuren</w:t>
      </w:r>
    </w:p>
    <w:p>
      <w:pPr>
        <w:pStyle w:val="Compact"/>
        <w:numPr>
          <w:ilvl w:val="0"/>
          <w:numId w:val="1002"/>
        </w:numPr>
      </w:pPr>
      <w:r>
        <w:t xml:space="preserve">Neem</w:t>
      </w:r>
      <w:r>
        <w:t xml:space="preserve"> </w:t>
      </w:r>
      <w:r>
        <w:rPr>
          <w:b/>
          <w:bCs/>
        </w:rPr>
        <w:t xml:space="preserve">voegen/sluitnaden</w:t>
      </w:r>
      <w:r>
        <w:t xml:space="preserve"> </w:t>
      </w:r>
      <w:r>
        <w:t xml:space="preserve">mee: luchtdichtheid en afdichtingsniveau zijn bepalend.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Bij schuifdeuren vaak</w:t>
      </w:r>
      <w:r>
        <w:t xml:space="preserve"> </w:t>
      </w:r>
      <w:r>
        <w:rPr>
          <w:b/>
          <w:bCs/>
        </w:rPr>
        <w:t xml:space="preserve">lagere</w:t>
      </w:r>
      <w:r>
        <w:t xml:space="preserve"> </w:t>
      </w:r>
      <w:r>
        <w:t xml:space="preserve">Rw verwacht; overleg met opdrachtgever over haalbare prestatie of test onder representatieve condities.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30" w:name="zontoetreding-g-lichtdoorlatendheid-tv"/>
    <w:p>
      <w:pPr>
        <w:pStyle w:val="Heading2"/>
      </w:pPr>
      <w:r>
        <w:t xml:space="preserve">3. Zontoetreding (g) &amp; Lichtdoorlatendheid (Tv)</w:t>
      </w:r>
    </w:p>
    <w:p>
      <w:pPr>
        <w:pStyle w:val="FirstParagraph"/>
      </w:pPr>
      <w:r>
        <w:rPr>
          <w:b/>
          <w:bCs/>
        </w:rPr>
        <w:t xml:space="preserve">Bron:</w:t>
      </w:r>
      <w:r>
        <w:t xml:space="preserve"> </w:t>
      </w:r>
      <w:r>
        <w:t xml:space="preserve">glas-DoP van leverancier.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g (ZTA)</w:t>
      </w:r>
      <w:r>
        <w:t xml:space="preserve">: totale zonne-energiedoorlaat (0–1)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Tv (LTA)</w:t>
      </w:r>
      <w:r>
        <w:t xml:space="preserve">: zichtbare lichttransmissie (0–1)</w:t>
      </w:r>
    </w:p>
    <w:p>
      <w:pPr>
        <w:pStyle w:val="BodyText"/>
      </w:pPr>
      <w:r>
        <w:rPr>
          <w:b/>
          <w:bCs/>
        </w:rPr>
        <w:t xml:space="preserve">Notatie op DoP/label:</w:t>
      </w:r>
      <w:r>
        <w:t xml:space="preserve"> </w:t>
      </w:r>
      <w:r>
        <w:t xml:space="preserve">waarde</w:t>
      </w:r>
      <w:r>
        <w:t xml:space="preserve"> </w:t>
      </w:r>
      <w:r>
        <w:rPr>
          <w:b/>
          <w:bCs/>
        </w:rPr>
        <w:t xml:space="preserve">zonder</w:t>
      </w:r>
      <w:r>
        <w:t xml:space="preserve"> </w:t>
      </w:r>
      <w:r>
        <w:t xml:space="preserve">%-teken, bijvoorbeeld</w:t>
      </w:r>
      <w:r>
        <w:t xml:space="preserve"> </w:t>
      </w:r>
      <w:r>
        <w:rPr>
          <w:b/>
          <w:bCs/>
        </w:rPr>
        <w:t xml:space="preserve">g = 0.61</w:t>
      </w:r>
      <w:r>
        <w:t xml:space="preserve"> </w:t>
      </w:r>
      <w:r>
        <w:t xml:space="preserve">en</w:t>
      </w:r>
      <w:r>
        <w:t xml:space="preserve"> </w:t>
      </w:r>
      <w:r>
        <w:rPr>
          <w:b/>
          <w:bCs/>
        </w:rPr>
        <w:t xml:space="preserve">Tv = 0.71</w:t>
      </w:r>
      <w:r>
        <w:t xml:space="preserve">.</w:t>
      </w:r>
      <w:r>
        <w:br/>
      </w:r>
      <w:r>
        <w:rPr>
          <w:b/>
          <w:bCs/>
        </w:rPr>
        <w:t xml:space="preserve">Meervaks kozijn:</w:t>
      </w:r>
      <w:r>
        <w:t xml:space="preserve"> </w:t>
      </w:r>
      <w:r>
        <w:t xml:space="preserve">verschillende glasvullingen → indien niet uniform, mag</w:t>
      </w:r>
      <w:r>
        <w:t xml:space="preserve"> </w:t>
      </w:r>
      <w:r>
        <w:rPr>
          <w:b/>
          <w:bCs/>
        </w:rPr>
        <w:t xml:space="preserve">NPD</w:t>
      </w:r>
      <w:r>
        <w:t xml:space="preserve"> </w:t>
      </w:r>
      <w:r>
        <w:t xml:space="preserve">voor het totaal (tenzij prestatie expliciet geëist is). Documenteer per vak in Technisch Dossier.</w:t>
      </w:r>
    </w:p>
    <w:bookmarkStart w:id="29" w:name="voorbeeld-hr-helder"/>
    <w:p>
      <w:pPr>
        <w:pStyle w:val="Heading3"/>
      </w:pPr>
      <w:r>
        <w:t xml:space="preserve">3.1 Voorbeeld (HR++ helder)</w:t>
      </w:r>
    </w:p>
    <w:p>
      <w:pPr>
        <w:pStyle w:val="Compact"/>
        <w:numPr>
          <w:ilvl w:val="0"/>
          <w:numId w:val="1003"/>
        </w:numPr>
      </w:pPr>
      <w:r>
        <w:t xml:space="preserve">Glas-DoP: g =</w:t>
      </w:r>
      <w:r>
        <w:t xml:space="preserve"> </w:t>
      </w:r>
      <w:r>
        <w:rPr>
          <w:b/>
          <w:bCs/>
        </w:rPr>
        <w:t xml:space="preserve">0.63</w:t>
      </w:r>
      <w:r>
        <w:t xml:space="preserve">, Tv =</w:t>
      </w:r>
      <w:r>
        <w:t xml:space="preserve"> </w:t>
      </w:r>
      <w:r>
        <w:rPr>
          <w:b/>
          <w:bCs/>
        </w:rPr>
        <w:t xml:space="preserve">0.78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Te vermelden op DoP:</w:t>
      </w:r>
      <w:r>
        <w:t xml:space="preserve"> </w:t>
      </w:r>
      <w:r>
        <w:rPr>
          <w:b/>
          <w:bCs/>
        </w:rPr>
        <w:t xml:space="preserve">g = 0.63</w:t>
      </w:r>
      <w:r>
        <w:t xml:space="preserve">,</w:t>
      </w:r>
      <w:r>
        <w:t xml:space="preserve"> </w:t>
      </w:r>
      <w:r>
        <w:rPr>
          <w:b/>
          <w:bCs/>
        </w:rPr>
        <w:t xml:space="preserve">Tv = 0.78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Te vermelden op label: idem, indien vereist; anders NPD toegestaan per normtoepassing.</w:t>
      </w:r>
    </w:p>
    <w:p>
      <w:r>
        <w:pict>
          <v:rect style="width:0;height:1.5pt" o:hralign="center" o:hrstd="t" o:hr="t"/>
        </w:pict>
      </w:r>
    </w:p>
    <w:bookmarkEnd w:id="29"/>
    <w:bookmarkEnd w:id="30"/>
    <w:bookmarkStart w:id="34" w:name="X3a30831649804d1504c47c3d94bf1fa55eb7b34"/>
    <w:p>
      <w:pPr>
        <w:pStyle w:val="Heading2"/>
      </w:pPr>
      <w:r>
        <w:t xml:space="preserve">4. Toepassing, software, herberekening &amp; borging</w:t>
      </w:r>
    </w:p>
    <w:bookmarkStart w:id="31" w:name="toegestane-software-en-bronnen"/>
    <w:p>
      <w:pPr>
        <w:pStyle w:val="Heading3"/>
      </w:pPr>
      <w:r>
        <w:t xml:space="preserve">4.1 Toegestane software en bronnen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NBVT Excel-tools</w:t>
      </w:r>
      <w:r>
        <w:t xml:space="preserve"> </w:t>
      </w:r>
      <w:r>
        <w:t xml:space="preserve">(versie en datum vermelden)</w:t>
      </w:r>
      <w:r>
        <w:br/>
      </w:r>
    </w:p>
    <w:p>
      <w:pPr>
        <w:pStyle w:val="Compact"/>
        <w:numPr>
          <w:ilvl w:val="0"/>
          <w:numId w:val="1004"/>
        </w:numPr>
      </w:pPr>
      <w:r>
        <w:t xml:space="preserve">Profielberekening:</w:t>
      </w:r>
      <w:r>
        <w:t xml:space="preserve"> </w:t>
      </w:r>
      <w:r>
        <w:rPr>
          <w:b/>
          <w:bCs/>
        </w:rPr>
        <w:t xml:space="preserve">EN ISO 10077-2</w:t>
      </w:r>
      <w:r>
        <w:t xml:space="preserve"> </w:t>
      </w:r>
      <w:r>
        <w:t xml:space="preserve">compatibele software (THERM/FRAME e.d.)</w:t>
      </w:r>
      <w:r>
        <w:br/>
      </w:r>
    </w:p>
    <w:p>
      <w:pPr>
        <w:pStyle w:val="Compact"/>
        <w:numPr>
          <w:ilvl w:val="0"/>
          <w:numId w:val="1004"/>
        </w:numPr>
      </w:pPr>
      <w:r>
        <w:t xml:space="preserve">Akoestiek: tools conform</w:t>
      </w:r>
      <w:r>
        <w:t xml:space="preserve"> </w:t>
      </w:r>
      <w:r>
        <w:rPr>
          <w:b/>
          <w:bCs/>
        </w:rPr>
        <w:t xml:space="preserve">EN ISO 717-1</w:t>
      </w:r>
      <w:r>
        <w:t xml:space="preserve"> </w:t>
      </w:r>
      <w:r>
        <w:t xml:space="preserve">(beoordeling) en invoer op basis van</w:t>
      </w:r>
      <w:r>
        <w:t xml:space="preserve"> </w:t>
      </w:r>
      <w:r>
        <w:rPr>
          <w:b/>
          <w:bCs/>
        </w:rPr>
        <w:t xml:space="preserve">EN ISO 10140-2</w:t>
      </w:r>
      <w:r>
        <w:t xml:space="preserve"> </w:t>
      </w:r>
      <w:r>
        <w:t xml:space="preserve">rapporten/glas-DoP</w:t>
      </w:r>
    </w:p>
    <w:bookmarkEnd w:id="31"/>
    <w:bookmarkStart w:id="32" w:name="herberekenen-wanneer-verplicht"/>
    <w:p>
      <w:pPr>
        <w:pStyle w:val="Heading3"/>
      </w:pPr>
      <w:r>
        <w:t xml:space="preserve">4.2 Herberekenen – wanneer verplicht?</w:t>
      </w:r>
    </w:p>
    <w:p>
      <w:pPr>
        <w:pStyle w:val="Compact"/>
        <w:numPr>
          <w:ilvl w:val="0"/>
          <w:numId w:val="1005"/>
        </w:numPr>
      </w:pPr>
      <w:r>
        <w:t xml:space="preserve">Wijziging</w:t>
      </w:r>
      <w:r>
        <w:t xml:space="preserve"> </w:t>
      </w:r>
      <w:r>
        <w:rPr>
          <w:b/>
          <w:bCs/>
        </w:rPr>
        <w:t xml:space="preserve">profiel</w:t>
      </w:r>
      <w:r>
        <w:t xml:space="preserve"> </w:t>
      </w:r>
      <w:r>
        <w:t xml:space="preserve">(andere Uf of geometrie)</w:t>
      </w:r>
      <w:r>
        <w:br/>
      </w:r>
    </w:p>
    <w:p>
      <w:pPr>
        <w:pStyle w:val="Compact"/>
        <w:numPr>
          <w:ilvl w:val="0"/>
          <w:numId w:val="1005"/>
        </w:numPr>
      </w:pPr>
      <w:r>
        <w:t xml:space="preserve">Andere</w:t>
      </w:r>
      <w:r>
        <w:t xml:space="preserve"> </w:t>
      </w:r>
      <w:r>
        <w:rPr>
          <w:b/>
          <w:bCs/>
        </w:rPr>
        <w:t xml:space="preserve">spacer</w:t>
      </w:r>
      <w:r>
        <w:t xml:space="preserve"> </w:t>
      </w:r>
      <w:r>
        <w:t xml:space="preserve">of beglazingsopbouw (ψg/Ug wijzigt)</w:t>
      </w:r>
      <w:r>
        <w:br/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Afmetingen</w:t>
      </w:r>
      <w:r>
        <w:t xml:space="preserve"> </w:t>
      </w:r>
      <w:r>
        <w:t xml:space="preserve">of vullingsaandeel wijzigt &gt;±10%</w:t>
      </w:r>
      <w:r>
        <w:br/>
      </w:r>
    </w:p>
    <w:p>
      <w:pPr>
        <w:pStyle w:val="Compact"/>
        <w:numPr>
          <w:ilvl w:val="0"/>
          <w:numId w:val="1005"/>
        </w:numPr>
      </w:pPr>
      <w:r>
        <w:t xml:space="preserve">Overstap naar</w:t>
      </w:r>
      <w:r>
        <w:t xml:space="preserve"> </w:t>
      </w:r>
      <w:r>
        <w:rPr>
          <w:b/>
          <w:bCs/>
        </w:rPr>
        <w:t xml:space="preserve">andere luchtdichtheidsklasse</w:t>
      </w:r>
      <w:r>
        <w:t xml:space="preserve"> </w:t>
      </w:r>
      <w:r>
        <w:t xml:space="preserve">(ramen/deuren)</w:t>
      </w:r>
      <w:r>
        <w:br/>
      </w:r>
    </w:p>
    <w:p>
      <w:pPr>
        <w:pStyle w:val="Compact"/>
        <w:numPr>
          <w:ilvl w:val="0"/>
          <w:numId w:val="1005"/>
        </w:numPr>
      </w:pPr>
      <w:r>
        <w:t xml:space="preserve">Bij</w:t>
      </w:r>
      <w:r>
        <w:t xml:space="preserve"> </w:t>
      </w:r>
      <w:r>
        <w:rPr>
          <w:b/>
          <w:bCs/>
        </w:rPr>
        <w:t xml:space="preserve">ILT-vraag</w:t>
      </w:r>
      <w:r>
        <w:t xml:space="preserve"> </w:t>
      </w:r>
      <w:r>
        <w:t xml:space="preserve">of twijfel over representativiteit van eerder resultaat</w:t>
      </w:r>
    </w:p>
    <w:bookmarkEnd w:id="32"/>
    <w:bookmarkStart w:id="33" w:name="kwaliteitsborging-koppeling-fpcikb"/>
    <w:p>
      <w:pPr>
        <w:pStyle w:val="Heading3"/>
      </w:pPr>
      <w:r>
        <w:t xml:space="preserve">4.3 Kwaliteitsborging (koppeling FPC/IKB)</w:t>
      </w:r>
    </w:p>
    <w:p>
      <w:pPr>
        <w:pStyle w:val="Compact"/>
        <w:numPr>
          <w:ilvl w:val="0"/>
          <w:numId w:val="1006"/>
        </w:numPr>
      </w:pPr>
      <w:r>
        <w:t xml:space="preserve">Leg berekeningen</w:t>
      </w:r>
      <w:r>
        <w:t xml:space="preserve"> </w:t>
      </w:r>
      <w:r>
        <w:rPr>
          <w:b/>
          <w:bCs/>
        </w:rPr>
        <w:t xml:space="preserve">per project</w:t>
      </w:r>
      <w:r>
        <w:t xml:space="preserve"> </w:t>
      </w:r>
      <w:r>
        <w:t xml:space="preserve">vast (PDF + bronbestanden)</w:t>
      </w:r>
      <w:r>
        <w:br/>
      </w:r>
    </w:p>
    <w:p>
      <w:pPr>
        <w:pStyle w:val="Compact"/>
        <w:numPr>
          <w:ilvl w:val="0"/>
          <w:numId w:val="1006"/>
        </w:numPr>
      </w:pPr>
      <w:r>
        <w:t xml:space="preserve">Bewaar</w:t>
      </w:r>
      <w:r>
        <w:t xml:space="preserve"> </w:t>
      </w:r>
      <w:r>
        <w:rPr>
          <w:b/>
          <w:bCs/>
        </w:rPr>
        <w:t xml:space="preserve">glas-DoP’s</w:t>
      </w:r>
      <w:r>
        <w:t xml:space="preserve">, profieldata, aannames en ruwe berekeningen</w:t>
      </w:r>
      <w:r>
        <w:br/>
      </w:r>
    </w:p>
    <w:p>
      <w:pPr>
        <w:pStyle w:val="Compact"/>
        <w:numPr>
          <w:ilvl w:val="0"/>
          <w:numId w:val="1006"/>
        </w:numPr>
      </w:pPr>
      <w:r>
        <w:t xml:space="preserve">Versiebeheer: document-, tool- en normversies vermelden</w:t>
      </w:r>
      <w:r>
        <w:br/>
      </w:r>
    </w:p>
    <w:p>
      <w:pPr>
        <w:pStyle w:val="Compact"/>
        <w:numPr>
          <w:ilvl w:val="0"/>
          <w:numId w:val="1006"/>
        </w:numPr>
      </w:pPr>
      <w:r>
        <w:t xml:space="preserve">Peer review: interne</w:t>
      </w:r>
      <w:r>
        <w:t xml:space="preserve"> </w:t>
      </w:r>
      <w:r>
        <w:rPr>
          <w:b/>
          <w:bCs/>
        </w:rPr>
        <w:t xml:space="preserve">vier-ogen-check</w:t>
      </w:r>
      <w:r>
        <w:t xml:space="preserve"> </w:t>
      </w:r>
      <w:r>
        <w:t xml:space="preserve">voor DoP/labelwaarden</w:t>
      </w:r>
    </w:p>
    <w:p>
      <w:r>
        <w:pict>
          <v:rect style="width:0;height:1.5pt" o:hralign="center" o:hrstd="t" o:hr="t"/>
        </w:pict>
      </w:r>
    </w:p>
    <w:bookmarkEnd w:id="33"/>
    <w:bookmarkEnd w:id="34"/>
    <w:bookmarkStart w:id="35" w:name="X780dc77cbb3557ffb75c7ef2aa7620286f7269a"/>
    <w:p>
      <w:pPr>
        <w:pStyle w:val="Heading2"/>
      </w:pPr>
      <w:r>
        <w:t xml:space="preserve">5. Notatie, afronding, eenheden en documentatie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Uw</w:t>
      </w:r>
      <w:r>
        <w:t xml:space="preserve"> </w:t>
      </w:r>
      <w:r>
        <w:t xml:space="preserve">≥ 1.0: afronden op</w:t>
      </w:r>
      <w:r>
        <w:t xml:space="preserve"> </w:t>
      </w:r>
      <w:r>
        <w:rPr>
          <w:b/>
          <w:bCs/>
        </w:rPr>
        <w:t xml:space="preserve">één decimaal</w:t>
      </w:r>
      <w:r>
        <w:t xml:space="preserve">;</w:t>
      </w:r>
      <w:r>
        <w:t xml:space="preserve"> </w:t>
      </w:r>
      <w:r>
        <w:rPr>
          <w:b/>
          <w:bCs/>
        </w:rPr>
        <w:t xml:space="preserve">&lt; 1.0</w:t>
      </w:r>
      <w:r>
        <w:t xml:space="preserve">:</w:t>
      </w:r>
      <w:r>
        <w:t xml:space="preserve"> </w:t>
      </w:r>
      <w:r>
        <w:rPr>
          <w:b/>
          <w:bCs/>
        </w:rPr>
        <w:t xml:space="preserve">twee decimalen</w:t>
      </w:r>
      <w:r>
        <w:br/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Rw (C; Ctr)</w:t>
      </w:r>
      <w:r>
        <w:t xml:space="preserve">: hele dB’s, conservatief afronden (naar beneden)</w:t>
      </w:r>
      <w:r>
        <w:br/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g</w:t>
      </w:r>
      <w:r>
        <w:t xml:space="preserve">/</w:t>
      </w:r>
      <w:r>
        <w:rPr>
          <w:b/>
          <w:bCs/>
        </w:rPr>
        <w:t xml:space="preserve">Tv</w:t>
      </w:r>
      <w:r>
        <w:t xml:space="preserve">: twee decimalen (bijv.</w:t>
      </w:r>
      <w:r>
        <w:t xml:space="preserve"> </w:t>
      </w:r>
      <w:r>
        <w:rPr>
          <w:b/>
          <w:bCs/>
        </w:rPr>
        <w:t xml:space="preserve">0.63</w:t>
      </w:r>
      <w:r>
        <w:t xml:space="preserve">)</w:t>
      </w:r>
      <w:r>
        <w:br/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Eenheden</w:t>
      </w:r>
      <w:r>
        <w:t xml:space="preserve">: W/m²K, dB, mm –</w:t>
      </w:r>
      <w:r>
        <w:t xml:space="preserve"> </w:t>
      </w:r>
      <w:r>
        <w:rPr>
          <w:b/>
          <w:bCs/>
        </w:rPr>
        <w:t xml:space="preserve">altijd</w:t>
      </w:r>
      <w:r>
        <w:t xml:space="preserve"> </w:t>
      </w:r>
      <w:r>
        <w:t xml:space="preserve">vermelden waar van toepassing</w:t>
      </w:r>
      <w:r>
        <w:br/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Consistentie</w:t>
      </w:r>
      <w:r>
        <w:t xml:space="preserve">: DoP ↔ CE-label</w:t>
      </w:r>
      <w:r>
        <w:t xml:space="preserve"> </w:t>
      </w:r>
      <w:r>
        <w:rPr>
          <w:b/>
          <w:bCs/>
        </w:rPr>
        <w:t xml:space="preserve">1:1</w:t>
      </w:r>
      <w:r>
        <w:t xml:space="preserve"> </w:t>
      </w:r>
      <w:r>
        <w:t xml:space="preserve">(zelfde code, waarden en NoBo-nummering waar vereist)</w:t>
      </w:r>
      <w:r>
        <w:br/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Dossier</w:t>
      </w:r>
      <w:r>
        <w:t xml:space="preserve">: voeg print- en digitale versies toe + ondertekening/paraaf controleur</w:t>
      </w:r>
    </w:p>
    <w:p>
      <w:r>
        <w:pict>
          <v:rect style="width:0;height:1.5pt" o:hralign="center" o:hrstd="t" o:hr="t"/>
        </w:pict>
      </w:r>
    </w:p>
    <w:bookmarkEnd w:id="35"/>
    <w:bookmarkStart w:id="36" w:name="foutenpreventie-checklist"/>
    <w:p>
      <w:pPr>
        <w:pStyle w:val="Heading2"/>
      </w:pPr>
      <w:r>
        <w:t xml:space="preserve">6. Foutenpreventie (checklist)</w:t>
      </w:r>
    </w:p>
    <w:p>
      <w:pPr>
        <w:pStyle w:val="FirstParagraph"/>
      </w:pPr>
      <w:r>
        <w:t xml:space="preserve">☐ Zijn bronwaarden (Ug, ψg, Uf) aantoonbaar en actueel?</w:t>
      </w:r>
      <w:r>
        <w:br/>
      </w:r>
      <w:r>
        <w:t xml:space="preserve">☐ Is de</w:t>
      </w:r>
      <w:r>
        <w:t xml:space="preserve"> </w:t>
      </w:r>
      <w:r>
        <w:rPr>
          <w:b/>
          <w:bCs/>
        </w:rPr>
        <w:t xml:space="preserve">toepassingsgrens</w:t>
      </w:r>
      <w:r>
        <w:t xml:space="preserve"> </w:t>
      </w:r>
      <w:r>
        <w:t xml:space="preserve">van forfaitaire methode niet overschreden?</w:t>
      </w:r>
      <w:r>
        <w:br/>
      </w:r>
      <w:r>
        <w:t xml:space="preserve">☐ Zijn</w:t>
      </w:r>
      <w:r>
        <w:t xml:space="preserve"> </w:t>
      </w:r>
      <w:r>
        <w:rPr>
          <w:b/>
          <w:bCs/>
        </w:rPr>
        <w:t xml:space="preserve">oppervlakken</w:t>
      </w:r>
      <w:r>
        <w:t xml:space="preserve"> </w:t>
      </w:r>
      <w:r>
        <w:t xml:space="preserve">en</w:t>
      </w:r>
      <w:r>
        <w:t xml:space="preserve"> </w:t>
      </w:r>
      <w:r>
        <w:rPr>
          <w:b/>
          <w:bCs/>
        </w:rPr>
        <w:t xml:space="preserve">glasrandlengte</w:t>
      </w:r>
      <w:r>
        <w:t xml:space="preserve"> </w:t>
      </w:r>
      <w:r>
        <w:t xml:space="preserve">correct gemeten/berekend?</w:t>
      </w:r>
      <w:r>
        <w:br/>
      </w:r>
      <w:r>
        <w:t xml:space="preserve">☐ Is de</w:t>
      </w:r>
      <w:r>
        <w:t xml:space="preserve"> </w:t>
      </w:r>
      <w:r>
        <w:rPr>
          <w:b/>
          <w:bCs/>
        </w:rPr>
        <w:t xml:space="preserve">luchtdichtheidsklasse</w:t>
      </w:r>
      <w:r>
        <w:t xml:space="preserve"> </w:t>
      </w:r>
      <w:r>
        <w:t xml:space="preserve">juist gekozen en vastgelegd?</w:t>
      </w:r>
      <w:r>
        <w:br/>
      </w:r>
      <w:r>
        <w:t xml:space="preserve">☐ Zijn waarden</w:t>
      </w:r>
      <w:r>
        <w:t xml:space="preserve"> </w:t>
      </w:r>
      <w:r>
        <w:rPr>
          <w:b/>
          <w:bCs/>
        </w:rPr>
        <w:t xml:space="preserve">eenduidig genoteerd</w:t>
      </w:r>
      <w:r>
        <w:t xml:space="preserve"> </w:t>
      </w:r>
      <w:r>
        <w:t xml:space="preserve">(eenheden/afronding)?</w:t>
      </w:r>
      <w:r>
        <w:br/>
      </w:r>
      <w:r>
        <w:t xml:space="preserve">☐ Is de berekening</w:t>
      </w:r>
      <w:r>
        <w:t xml:space="preserve"> </w:t>
      </w:r>
      <w:r>
        <w:rPr>
          <w:b/>
          <w:bCs/>
        </w:rPr>
        <w:t xml:space="preserve">herhaalbaar</w:t>
      </w:r>
      <w:r>
        <w:t xml:space="preserve"> </w:t>
      </w:r>
      <w:r>
        <w:t xml:space="preserve">(alle aannames vastgelegd)?</w:t>
      </w:r>
      <w:r>
        <w:br/>
      </w:r>
      <w:r>
        <w:t xml:space="preserve">☐ Is een interne</w:t>
      </w:r>
      <w:r>
        <w:t xml:space="preserve"> </w:t>
      </w:r>
      <w:r>
        <w:rPr>
          <w:b/>
          <w:bCs/>
        </w:rPr>
        <w:t xml:space="preserve">vier-ogen-check</w:t>
      </w:r>
      <w:r>
        <w:t xml:space="preserve"> </w:t>
      </w:r>
      <w:r>
        <w:t xml:space="preserve">uitgevoerd?</w:t>
      </w:r>
      <w:r>
        <w:br/>
      </w:r>
      <w:r>
        <w:t xml:space="preserve">☐ Zijn DoP en CE-label</w:t>
      </w:r>
      <w:r>
        <w:t xml:space="preserve"> </w:t>
      </w:r>
      <w:r>
        <w:rPr>
          <w:b/>
          <w:bCs/>
        </w:rPr>
        <w:t xml:space="preserve">consistent</w:t>
      </w:r>
      <w:r>
        <w:t xml:space="preserve"> </w:t>
      </w:r>
      <w:r>
        <w:t xml:space="preserve">en projectgebonden?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Gebruik deze bijlage samen met Bijlage 1 (NPD &amp; verplichte kenmerken) en Bijlage 4 (DoP-sjablonen). Voeg per project de volledige rekenbestanden toe aan het Technisch Dossier.</w:t>
      </w:r>
    </w:p>
    <w:bookmarkEnd w:id="36"/>
    <w:bookmarkEnd w:id="3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2025-11-06T12:47:20Z</dcterms:created>
  <dcterms:modified xsi:type="dcterms:W3CDTF">2025-11-06T12:47:20Z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