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7" w:name="Xe47d6a9a7c830a741ba3572856e2943a6c8b3f5"/>
    <w:p>
      <w:pPr>
        <w:pStyle w:val="Heading1"/>
      </w:pPr>
      <w:r>
        <w:t xml:space="preserve">Bijlage 1 – NPD-matrix en prestatie-eisen per kenmerk</w:t>
      </w:r>
    </w:p>
    <w:p>
      <w:pPr>
        <w:pStyle w:val="FirstParagraph"/>
      </w:pPr>
      <w:r>
        <w:rPr>
          <w:i/>
          <w:iCs/>
        </w:rPr>
        <w:t xml:space="preserve">Toelichting: Deze matrix geeft per prestatiekenmerk aan of een waarde altijd verplicht is, onder welke omstandigheden</w:t>
      </w:r>
      <w:r>
        <w:rPr>
          <w:i/>
          <w:iCs/>
        </w:rPr>
        <w:t xml:space="preserve"> </w:t>
      </w:r>
      <w:r>
        <w:rPr>
          <w:i/>
          <w:iCs/>
        </w:rPr>
        <w:t xml:space="preserve">“NPD”</w:t>
      </w:r>
      <w:r>
        <w:rPr>
          <w:i/>
          <w:iCs/>
        </w:rPr>
        <w:t xml:space="preserve"> </w:t>
      </w:r>
      <w:r>
        <w:rPr>
          <w:i/>
          <w:iCs/>
        </w:rPr>
        <w:t xml:space="preserve">(No Performance Determined) mag worden gebruikt, en wat het minimale prestatieniveau moet zijn conform NEN-EN 14351-1:2006+A2:2016.</w:t>
      </w:r>
    </w:p>
    <w:p>
      <w:r>
        <w:pict>
          <v:rect style="width:0;height:1.5pt" o:hralign="center" o:hrstd="t" o:hr="t"/>
        </w:pict>
      </w:r>
    </w:p>
    <w:bookmarkStart w:id="20" w:name="overzicht-verplichte-prestatiekenmerken"/>
    <w:p>
      <w:pPr>
        <w:pStyle w:val="Heading2"/>
      </w:pPr>
      <w:r>
        <w:t xml:space="preserve">🧾 Overzicht verplichte prestatiekenmerken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990"/>
        <w:gridCol w:w="2079"/>
        <w:gridCol w:w="1782"/>
        <w:gridCol w:w="306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Kenmerk</w:t>
            </w:r>
          </w:p>
        </w:tc>
        <w:tc>
          <w:tcPr/>
          <w:p>
            <w:pPr>
              <w:pStyle w:val="Compact"/>
            </w:pPr>
            <w:r>
              <w:t xml:space="preserve">Verplicht voor CE?</w:t>
            </w:r>
          </w:p>
        </w:tc>
        <w:tc>
          <w:tcPr/>
          <w:p>
            <w:pPr>
              <w:pStyle w:val="Compact"/>
            </w:pPr>
            <w:r>
              <w:t xml:space="preserve">NPD toegestaan?</w:t>
            </w:r>
          </w:p>
        </w:tc>
        <w:tc>
          <w:tcPr/>
          <w:p>
            <w:pPr>
              <w:pStyle w:val="Compact"/>
            </w:pPr>
            <w:r>
              <w:t xml:space="preserve">Minimale eisen / opmerkingen</w:t>
            </w:r>
          </w:p>
        </w:tc>
      </w:tr>
      <w:tr>
        <w:tc>
          <w:tcPr/>
          <w:p>
            <w:pPr>
              <w:pStyle w:val="Compact"/>
            </w:pPr>
            <w:r>
              <w:t xml:space="preserve">Waterdichtheid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Nee</w:t>
            </w:r>
          </w:p>
        </w:tc>
        <w:tc>
          <w:tcPr/>
          <w:p>
            <w:pPr>
              <w:pStyle w:val="Compact"/>
            </w:pPr>
            <w:r>
              <w:t xml:space="preserve">Minimaal klasse 2A of hoger afhankelijk van projecteisen</w:t>
            </w:r>
          </w:p>
        </w:tc>
      </w:tr>
      <w:tr>
        <w:tc>
          <w:tcPr/>
          <w:p>
            <w:pPr>
              <w:pStyle w:val="Compact"/>
            </w:pPr>
            <w:r>
              <w:t xml:space="preserve">Weerstand tegen windbelasting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Nee</w:t>
            </w:r>
          </w:p>
        </w:tc>
        <w:tc>
          <w:tcPr/>
          <w:p>
            <w:pPr>
              <w:pStyle w:val="Compact"/>
            </w:pPr>
            <w:r>
              <w:t xml:space="preserve">Klasse afhankelijk van type kozijn en windgebied</w:t>
            </w:r>
          </w:p>
        </w:tc>
      </w:tr>
      <w:tr>
        <w:tc>
          <w:tcPr/>
          <w:p>
            <w:pPr>
              <w:pStyle w:val="Compact"/>
            </w:pPr>
            <w:r>
              <w:t xml:space="preserve">Akoestische prestatie (Rw + Ctr)</w:t>
            </w:r>
          </w:p>
        </w:tc>
        <w:tc>
          <w:tcPr/>
          <w:p>
            <w:pPr>
              <w:pStyle w:val="Compact"/>
            </w:pPr>
            <w:r>
              <w:t xml:space="preserve">Ja (indien van toepassing)</w:t>
            </w:r>
          </w:p>
        </w:tc>
        <w:tc>
          <w:tcPr/>
          <w:p>
            <w:pPr>
              <w:pStyle w:val="Compact"/>
            </w:pPr>
            <w:r>
              <w:t xml:space="preserve">Ja, indien niet getest</w:t>
            </w:r>
          </w:p>
        </w:tc>
        <w:tc>
          <w:tcPr/>
          <w:p>
            <w:pPr>
              <w:pStyle w:val="Compact"/>
            </w:pPr>
            <w:r>
              <w:t xml:space="preserve">Afhankelijk van glascombinatie; waarde berekenen of testen</w:t>
            </w:r>
          </w:p>
        </w:tc>
      </w:tr>
      <w:tr>
        <w:tc>
          <w:tcPr/>
          <w:p>
            <w:pPr>
              <w:pStyle w:val="Compact"/>
            </w:pPr>
            <w:r>
              <w:t xml:space="preserve">Thermische isolatie (Uw)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Nee</w:t>
            </w:r>
          </w:p>
        </w:tc>
        <w:tc>
          <w:tcPr/>
          <w:p>
            <w:pPr>
              <w:pStyle w:val="Compact"/>
            </w:pPr>
            <w:r>
              <w:t xml:space="preserve">Berekenen of volgens forfaitaire methode (ISO 10077)</w:t>
            </w:r>
          </w:p>
        </w:tc>
      </w:tr>
      <w:tr>
        <w:tc>
          <w:tcPr/>
          <w:p>
            <w:pPr>
              <w:pStyle w:val="Compact"/>
            </w:pPr>
            <w:r>
              <w:t xml:space="preserve">Zontoetreding (ɡ-waarde)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Ja (indien niet geëist)</w:t>
            </w:r>
          </w:p>
        </w:tc>
        <w:tc>
          <w:tcPr/>
          <w:p>
            <w:pPr>
              <w:pStyle w:val="Compact"/>
            </w:pPr>
            <w:r>
              <w:t xml:space="preserve">Komt uit glas-DoP; prestatie voor zomercomfort</w:t>
            </w:r>
          </w:p>
        </w:tc>
      </w:tr>
      <w:tr>
        <w:tc>
          <w:tcPr/>
          <w:p>
            <w:pPr>
              <w:pStyle w:val="Compact"/>
            </w:pPr>
            <w:r>
              <w:t xml:space="preserve">Lichtdoorlatendheid (Tv)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Factor van glas-DoP; informatief bij daglichtcomfort</w:t>
            </w:r>
          </w:p>
        </w:tc>
      </w:tr>
      <w:tr>
        <w:tc>
          <w:tcPr/>
          <w:p>
            <w:pPr>
              <w:pStyle w:val="Compact"/>
            </w:pPr>
            <w:r>
              <w:t xml:space="preserve">Luchtdoorlatendheid</w:t>
            </w:r>
          </w:p>
        </w:tc>
        <w:tc>
          <w:tcPr/>
          <w:p>
            <w:pPr>
              <w:pStyle w:val="Compact"/>
            </w:pPr>
            <w:r>
              <w:t xml:space="preserve">Ja</w:t>
            </w:r>
          </w:p>
        </w:tc>
        <w:tc>
          <w:tcPr/>
          <w:p>
            <w:pPr>
              <w:pStyle w:val="Compact"/>
            </w:pPr>
            <w:r>
              <w:t xml:space="preserve">Nee</w:t>
            </w:r>
          </w:p>
        </w:tc>
        <w:tc>
          <w:tcPr/>
          <w:p>
            <w:pPr>
              <w:pStyle w:val="Compact"/>
            </w:pPr>
            <w:r>
              <w:t xml:space="preserve">Minimaal klasse 2, afhankelijk van ontwerp</w:t>
            </w:r>
          </w:p>
        </w:tc>
      </w:tr>
      <w:tr>
        <w:tc>
          <w:tcPr/>
          <w:p>
            <w:pPr>
              <w:pStyle w:val="Compact"/>
            </w:pPr>
            <w:r>
              <w:t xml:space="preserve">Hoogte (deurkozijnen)</w:t>
            </w:r>
          </w:p>
        </w:tc>
        <w:tc>
          <w:tcPr/>
          <w:p>
            <w:pPr>
              <w:pStyle w:val="Compact"/>
            </w:pPr>
            <w:r>
              <w:t xml:space="preserve">Ja (voor deuren)</w:t>
            </w:r>
          </w:p>
        </w:tc>
        <w:tc>
          <w:tcPr/>
          <w:p>
            <w:pPr>
              <w:pStyle w:val="Compact"/>
            </w:pPr>
            <w:r>
              <w:t xml:space="preserve">Nee</w:t>
            </w:r>
          </w:p>
        </w:tc>
        <w:tc>
          <w:tcPr/>
          <w:p>
            <w:pPr>
              <w:pStyle w:val="Compact"/>
            </w:pPr>
            <w:r>
              <w:t xml:space="preserve">Precieze daghoogte in mm vermelden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npd-regels-no-performance-determined"/>
    <w:p>
      <w:pPr>
        <w:pStyle w:val="Heading2"/>
      </w:pPr>
      <w:r>
        <w:t xml:space="preserve">📌 NPD-regels (No Performance Determined)</w:t>
      </w:r>
    </w:p>
    <w:p>
      <w:pPr>
        <w:pStyle w:val="FirstParagraph"/>
      </w:pPr>
      <w:r>
        <w:t xml:space="preserve">Gebruik van</w:t>
      </w:r>
      <w:r>
        <w:t xml:space="preserve"> </w:t>
      </w:r>
      <w:r>
        <w:t xml:space="preserve">“NPD”</w:t>
      </w:r>
      <w:r>
        <w:t xml:space="preserve"> </w:t>
      </w:r>
      <w:r>
        <w:t xml:space="preserve">is alleen toegestaan bij optionele kenmerken. In de praktijk betekent dit:</w:t>
      </w:r>
      <w:r>
        <w:t xml:space="preserve"> </w:t>
      </w:r>
      <w:r>
        <w:t xml:space="preserve">- NPD</w:t>
      </w:r>
      <w:r>
        <w:t xml:space="preserve"> </w:t>
      </w:r>
      <w:r>
        <w:rPr>
          <w:i/>
          <w:iCs/>
        </w:rPr>
        <w:t xml:space="preserve">mag</w:t>
      </w:r>
      <w:r>
        <w:t xml:space="preserve"> </w:t>
      </w:r>
      <w:r>
        <w:t xml:space="preserve">gebruikt worden bij kenmerken zoals ɡ-waarde en Tv, tenzij deze door opdrachtgever of wetgeving expliciet worden geëist.</w:t>
      </w:r>
      <w:r>
        <w:t xml:space="preserve"> </w:t>
      </w:r>
      <w:r>
        <w:t xml:space="preserve">- NPD</w:t>
      </w:r>
      <w:r>
        <w:t xml:space="preserve"> </w:t>
      </w:r>
      <w:r>
        <w:rPr>
          <w:i/>
          <w:iCs/>
        </w:rPr>
        <w:t xml:space="preserve">mag niet</w:t>
      </w:r>
      <w:r>
        <w:t xml:space="preserve"> </w:t>
      </w:r>
      <w:r>
        <w:t xml:space="preserve">gebruikt worden bij verplichte prestatiekenmerken, zoals thermische isolatie, waterdichtheid of luchtdichtheid.</w:t>
      </w:r>
      <w:r>
        <w:t xml:space="preserve"> </w:t>
      </w:r>
      <w:r>
        <w:t xml:space="preserve">- Bij gecertificeerde glassoorten (met glas-DoP) kan NPD gebruikt worden in het kozijnproduct zolang de glas-DoP volledig beschikbaar is als referentie.</w:t>
      </w:r>
    </w:p>
    <w:p>
      <w:r>
        <w:pict>
          <v:rect style="width:0;height:1.5pt" o:hralign="center" o:hrstd="t" o:hr="t"/>
        </w:pict>
      </w:r>
    </w:p>
    <w:bookmarkEnd w:id="21"/>
    <w:bookmarkStart w:id="26" w:name="toelichting-per-kenmerk"/>
    <w:p>
      <w:pPr>
        <w:pStyle w:val="Heading2"/>
      </w:pPr>
      <w:r>
        <w:t xml:space="preserve">🧮 Toelichting per kenmerk</w:t>
      </w:r>
    </w:p>
    <w:bookmarkStart w:id="22" w:name="waterdichtheid"/>
    <w:p>
      <w:pPr>
        <w:pStyle w:val="Heading3"/>
      </w:pPr>
      <w:r>
        <w:t xml:space="preserve">Waterdichtheid</w:t>
      </w:r>
    </w:p>
    <w:p>
      <w:pPr>
        <w:pStyle w:val="Compact"/>
        <w:numPr>
          <w:ilvl w:val="0"/>
          <w:numId w:val="1001"/>
        </w:numPr>
      </w:pPr>
      <w:r>
        <w:t xml:space="preserve">Altijd verplicht op CE-label en DoP</w:t>
      </w:r>
    </w:p>
    <w:p>
      <w:pPr>
        <w:pStyle w:val="Compact"/>
        <w:numPr>
          <w:ilvl w:val="0"/>
          <w:numId w:val="1001"/>
        </w:numPr>
      </w:pPr>
      <w:r>
        <w:t xml:space="preserve">Getest volgens EN 1027 / EN 12208</w:t>
      </w:r>
    </w:p>
    <w:p>
      <w:pPr>
        <w:pStyle w:val="Compact"/>
        <w:numPr>
          <w:ilvl w:val="0"/>
          <w:numId w:val="1001"/>
        </w:numPr>
      </w:pPr>
      <w:r>
        <w:t xml:space="preserve">Waarde in klassen 1A t/m E750</w:t>
      </w:r>
    </w:p>
    <w:bookmarkEnd w:id="22"/>
    <w:bookmarkStart w:id="23" w:name="weerstand-tegen-windbelasting"/>
    <w:p>
      <w:pPr>
        <w:pStyle w:val="Heading3"/>
      </w:pPr>
      <w:r>
        <w:t xml:space="preserve">Weerstand tegen windbelasting</w:t>
      </w:r>
    </w:p>
    <w:p>
      <w:pPr>
        <w:pStyle w:val="Compact"/>
        <w:numPr>
          <w:ilvl w:val="0"/>
          <w:numId w:val="1002"/>
        </w:numPr>
      </w:pPr>
      <w:r>
        <w:t xml:space="preserve">Verplichte vermelding conform EN 12210</w:t>
      </w:r>
    </w:p>
    <w:p>
      <w:pPr>
        <w:pStyle w:val="Compact"/>
        <w:numPr>
          <w:ilvl w:val="0"/>
          <w:numId w:val="1002"/>
        </w:numPr>
      </w:pPr>
      <w:r>
        <w:t xml:space="preserve">Afhankelijk van kozijnmaat, bouwlocatie en windgebied</w:t>
      </w:r>
    </w:p>
    <w:bookmarkEnd w:id="23"/>
    <w:bookmarkStart w:id="24" w:name="akoestiek-rw-ctr"/>
    <w:p>
      <w:pPr>
        <w:pStyle w:val="Heading3"/>
      </w:pPr>
      <w:r>
        <w:t xml:space="preserve">Akoestiek (Rw + Ctr)</w:t>
      </w:r>
    </w:p>
    <w:p>
      <w:pPr>
        <w:pStyle w:val="Compact"/>
        <w:numPr>
          <w:ilvl w:val="0"/>
          <w:numId w:val="1003"/>
        </w:numPr>
      </w:pPr>
      <w:r>
        <w:t xml:space="preserve">Verplicht indien prestatie geëist door bouwbesluit of klant</w:t>
      </w:r>
    </w:p>
    <w:p>
      <w:pPr>
        <w:pStyle w:val="Compact"/>
        <w:numPr>
          <w:ilvl w:val="0"/>
          <w:numId w:val="1003"/>
        </w:numPr>
      </w:pPr>
      <w:r>
        <w:t xml:space="preserve">Ontvang waarde via glas-DoP + Excel-rekentool</w:t>
      </w:r>
    </w:p>
    <w:bookmarkEnd w:id="24"/>
    <w:bookmarkStart w:id="25" w:name="thermische-isolatie-uw"/>
    <w:p>
      <w:pPr>
        <w:pStyle w:val="Heading3"/>
      </w:pPr>
      <w:r>
        <w:t xml:space="preserve">Thermische isolatie (Uw)</w:t>
      </w:r>
    </w:p>
    <w:p>
      <w:pPr>
        <w:pStyle w:val="Compact"/>
        <w:numPr>
          <w:ilvl w:val="0"/>
          <w:numId w:val="1004"/>
        </w:numPr>
      </w:pPr>
      <w:r>
        <w:t xml:space="preserve">Altijd verplicht volgens Bouwbesluit</w:t>
      </w:r>
    </w:p>
    <w:p>
      <w:pPr>
        <w:pStyle w:val="Compact"/>
        <w:numPr>
          <w:ilvl w:val="0"/>
          <w:numId w:val="1004"/>
        </w:numPr>
      </w:pPr>
      <w:r>
        <w:t xml:space="preserve">Kan forfaitair of berekend (bijv. volgens ISO 10077)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Gebruik dit document als basis voor de prestatieverklaring (DoP) en CE-label.</w:t>
      </w:r>
      <w:r>
        <w:br/>
      </w:r>
      <w:r>
        <w:t xml:space="preserve">Aanbevolen: voeg deze matrix als bijlage toe in het technisch dossier per project.</w:t>
      </w:r>
    </w:p>
    <w:bookmarkEnd w:id="25"/>
    <w:bookmarkEnd w:id="26"/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2025-11-06T12:40:29Z</dcterms:created>
  <dcterms:modified xsi:type="dcterms:W3CDTF">2025-11-06T12:40:29Z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